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10DBB">
        <w:rPr>
          <w:rFonts w:ascii="Arial" w:hAnsi="Arial" w:cs="Arial"/>
          <w:b/>
        </w:rPr>
        <w:t>Form 24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10DBB">
        <w:rPr>
          <w:rFonts w:ascii="Arial" w:hAnsi="Arial" w:cs="Arial"/>
          <w:b/>
        </w:rPr>
        <w:t>Search warrant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Section 270, Sale and Supply of Alcohol Act 2012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  <w:b/>
          <w:bCs/>
        </w:rPr>
        <w:t xml:space="preserve">To </w:t>
      </w:r>
      <w:r w:rsidRPr="00010DBB">
        <w:rPr>
          <w:rFonts w:ascii="Arial" w:hAnsi="Arial" w:cs="Arial"/>
        </w:rPr>
        <w:t>every constable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1 Ground of warrant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I am satisfied, on an application made by [</w:t>
      </w:r>
      <w:r w:rsidRPr="00010DBB">
        <w:rPr>
          <w:rFonts w:ascii="Arial" w:hAnsi="Arial" w:cs="Arial"/>
          <w:i/>
          <w:iCs/>
        </w:rPr>
        <w:t>full legal name, address, occupation</w:t>
      </w:r>
      <w:r w:rsidRPr="00010DBB">
        <w:rPr>
          <w:rFonts w:ascii="Arial" w:hAnsi="Arial" w:cs="Arial"/>
        </w:rPr>
        <w:t>] on [</w:t>
      </w:r>
      <w:r w:rsidRPr="00010DBB">
        <w:rPr>
          <w:rFonts w:ascii="Arial" w:hAnsi="Arial" w:cs="Arial"/>
          <w:i/>
          <w:iCs/>
        </w:rPr>
        <w:t>date</w:t>
      </w:r>
      <w:r w:rsidRPr="00010DBB">
        <w:rPr>
          <w:rFonts w:ascii="Arial" w:hAnsi="Arial" w:cs="Arial"/>
        </w:rPr>
        <w:t>], that there is reasonable ground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for believing that—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</w:rPr>
        <w:t xml:space="preserve">(a) </w:t>
      </w:r>
      <w:r w:rsidRPr="00010DBB">
        <w:rPr>
          <w:rFonts w:ascii="Arial" w:hAnsi="Arial" w:cs="Arial"/>
          <w:i/>
          <w:iCs/>
        </w:rPr>
        <w:t>Select the applicable paragraph(s).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any</w:t>
      </w:r>
      <w:proofErr w:type="gramEnd"/>
      <w:r w:rsidRPr="00010DBB">
        <w:rPr>
          <w:rFonts w:ascii="Arial" w:hAnsi="Arial" w:cs="Arial"/>
        </w:rPr>
        <w:t xml:space="preserve"> alcohol is being sold, or exposed or kept for sale,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on the premises/conveyance* described below, being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premises/a conveyance* in which that alcohol may not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lawfully be sold or exposed or kept for sale: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(c) </w:t>
      </w:r>
      <w:proofErr w:type="gramStart"/>
      <w:r w:rsidRPr="00010DBB">
        <w:rPr>
          <w:rFonts w:ascii="Arial" w:hAnsi="Arial" w:cs="Arial"/>
        </w:rPr>
        <w:t>the</w:t>
      </w:r>
      <w:proofErr w:type="gramEnd"/>
      <w:r w:rsidRPr="00010DBB">
        <w:rPr>
          <w:rFonts w:ascii="Arial" w:hAnsi="Arial" w:cs="Arial"/>
        </w:rPr>
        <w:t xml:space="preserve"> premises/conveyance* described below are/is* being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kept or used as a place of resort for the consumption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alcohol in contravention of the Sale and Supply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Alcohol Act 2012.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suspected offence(s) to which this warrant relates is/are*: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[</w:t>
      </w:r>
      <w:r w:rsidRPr="00010DBB">
        <w:rPr>
          <w:rFonts w:ascii="Arial" w:hAnsi="Arial" w:cs="Arial"/>
          <w:i/>
          <w:iCs/>
        </w:rPr>
        <w:t>state</w:t>
      </w:r>
      <w:r w:rsidRPr="00010DBB">
        <w:rPr>
          <w:rFonts w:ascii="Arial" w:hAnsi="Arial" w:cs="Arial"/>
        </w:rPr>
        <w:t>].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*Select one.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2 Description of premises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Include this paragraph only when authority is being given to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search any premises that are not a conveyance.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premises to which this warrant relates are situated at [</w:t>
      </w:r>
      <w:r w:rsidRPr="00010DBB">
        <w:rPr>
          <w:rFonts w:ascii="Arial" w:hAnsi="Arial" w:cs="Arial"/>
          <w:i/>
          <w:iCs/>
        </w:rPr>
        <w:t>number, street, and town</w:t>
      </w:r>
      <w:r w:rsidRPr="00010DBB">
        <w:rPr>
          <w:rFonts w:ascii="Arial" w:hAnsi="Arial" w:cs="Arial"/>
        </w:rPr>
        <w:t>]. The premises are known as [</w:t>
      </w:r>
      <w:r w:rsidRPr="00010DBB">
        <w:rPr>
          <w:rFonts w:ascii="Arial" w:hAnsi="Arial" w:cs="Arial"/>
          <w:i/>
          <w:iCs/>
        </w:rPr>
        <w:t>trading or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other name</w:t>
      </w:r>
      <w:r w:rsidRPr="00010DBB">
        <w:rPr>
          <w:rFonts w:ascii="Arial" w:hAnsi="Arial" w:cs="Arial"/>
        </w:rPr>
        <w:t>].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3 Description of conveyance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Include this paragraph only when authority is being given to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010DBB">
        <w:rPr>
          <w:rFonts w:ascii="Arial" w:hAnsi="Arial" w:cs="Arial"/>
          <w:i/>
          <w:iCs/>
        </w:rPr>
        <w:t>search</w:t>
      </w:r>
      <w:proofErr w:type="gramEnd"/>
      <w:r w:rsidRPr="00010DBB">
        <w:rPr>
          <w:rFonts w:ascii="Arial" w:hAnsi="Arial" w:cs="Arial"/>
          <w:i/>
          <w:iCs/>
        </w:rPr>
        <w:t xml:space="preserve"> a conveyance.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conveyance to which this warrant relates is the [</w:t>
      </w:r>
      <w:r w:rsidRPr="00010DBB">
        <w:rPr>
          <w:rFonts w:ascii="Arial" w:hAnsi="Arial" w:cs="Arial"/>
          <w:i/>
          <w:iCs/>
        </w:rPr>
        <w:t>kind of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conveyance</w:t>
      </w:r>
      <w:r w:rsidRPr="00010DBB">
        <w:rPr>
          <w:rFonts w:ascii="Arial" w:hAnsi="Arial" w:cs="Arial"/>
        </w:rPr>
        <w:t>] based at [</w:t>
      </w:r>
      <w:r w:rsidRPr="00010DBB">
        <w:rPr>
          <w:rFonts w:ascii="Arial" w:hAnsi="Arial" w:cs="Arial"/>
          <w:i/>
          <w:iCs/>
        </w:rPr>
        <w:t>home base</w:t>
      </w:r>
      <w:r w:rsidRPr="00010DBB">
        <w:rPr>
          <w:rFonts w:ascii="Arial" w:hAnsi="Arial" w:cs="Arial"/>
        </w:rPr>
        <w:t>]. The conveyance is known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as [</w:t>
      </w:r>
      <w:r w:rsidRPr="00010DBB">
        <w:rPr>
          <w:rFonts w:ascii="Arial" w:hAnsi="Arial" w:cs="Arial"/>
          <w:i/>
          <w:iCs/>
        </w:rPr>
        <w:t>trading or other name</w:t>
      </w:r>
      <w:r w:rsidRPr="00010DBB">
        <w:rPr>
          <w:rFonts w:ascii="Arial" w:hAnsi="Arial" w:cs="Arial"/>
        </w:rPr>
        <w:t>].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4 Conditions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This warrant is subject to the following conditions: [</w:t>
      </w:r>
      <w:r w:rsidRPr="00010DBB">
        <w:rPr>
          <w:rFonts w:ascii="Arial" w:hAnsi="Arial" w:cs="Arial"/>
          <w:i/>
          <w:iCs/>
        </w:rPr>
        <w:t>state</w:t>
      </w:r>
      <w:r w:rsidRPr="00010DBB">
        <w:rPr>
          <w:rFonts w:ascii="Arial" w:hAnsi="Arial" w:cs="Arial"/>
        </w:rPr>
        <w:t>].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 xml:space="preserve">5 </w:t>
      </w:r>
      <w:proofErr w:type="gramStart"/>
      <w:r w:rsidRPr="00010DBB">
        <w:rPr>
          <w:rFonts w:ascii="Arial" w:hAnsi="Arial" w:cs="Arial"/>
          <w:b/>
          <w:bCs/>
        </w:rPr>
        <w:t>Authority</w:t>
      </w:r>
      <w:proofErr w:type="gramEnd"/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Subject to the conditions set out above, this warrant authorises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you, and any person called by you to assist,—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(a)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enter and search the premises/conveyance*;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search for and seize [</w:t>
      </w:r>
      <w:r w:rsidRPr="00010DBB">
        <w:rPr>
          <w:rFonts w:ascii="Arial" w:hAnsi="Arial" w:cs="Arial"/>
          <w:i/>
          <w:iCs/>
        </w:rPr>
        <w:t>describe what may be seized</w:t>
      </w:r>
      <w:r w:rsidRPr="00010DBB">
        <w:rPr>
          <w:rFonts w:ascii="Arial" w:hAnsi="Arial" w:cs="Arial"/>
        </w:rPr>
        <w:t>];and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(c) to seize anything else found in the course of carrying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out the search, or as a result of observations at the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premises/conveyance*, if you have reasonable grounds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to believe that you could have seized the item under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any search warrant that you could have obtained or any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other search power that you could have exercised;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(d)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use any force that is reasonable in the circumstances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to enter or break open or access any area within the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premises/conveyance* for the purposes of carrying out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search and any lawful seizure;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(e)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use any assistance that is reasonable in the circumstances;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(f)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search any person found on the premises/conveyance*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10DBB">
        <w:rPr>
          <w:rFonts w:ascii="Arial" w:hAnsi="Arial" w:cs="Arial"/>
        </w:rPr>
        <w:t>if</w:t>
      </w:r>
      <w:proofErr w:type="gramEnd"/>
      <w:r w:rsidRPr="00010DBB">
        <w:rPr>
          <w:rFonts w:ascii="Arial" w:hAnsi="Arial" w:cs="Arial"/>
        </w:rPr>
        <w:t xml:space="preserve"> there are reasonable grounds to believe that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an item being searched for is on that person;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(g)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detain any person for the purposes of determining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whether there is any connection between that person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and the object of the search—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>(</w:t>
      </w:r>
      <w:proofErr w:type="spellStart"/>
      <w:r w:rsidRPr="00010DBB">
        <w:rPr>
          <w:rFonts w:ascii="Arial" w:hAnsi="Arial" w:cs="Arial"/>
        </w:rPr>
        <w:t>i</w:t>
      </w:r>
      <w:proofErr w:type="spellEnd"/>
      <w:r w:rsidRPr="00010DBB">
        <w:rPr>
          <w:rFonts w:ascii="Arial" w:hAnsi="Arial" w:cs="Arial"/>
        </w:rPr>
        <w:t xml:space="preserve">) </w:t>
      </w:r>
      <w:proofErr w:type="gramStart"/>
      <w:r w:rsidRPr="00010DBB">
        <w:rPr>
          <w:rFonts w:ascii="Arial" w:hAnsi="Arial" w:cs="Arial"/>
        </w:rPr>
        <w:t>who</w:t>
      </w:r>
      <w:proofErr w:type="gramEnd"/>
      <w:r w:rsidRPr="00010DBB">
        <w:rPr>
          <w:rFonts w:ascii="Arial" w:hAnsi="Arial" w:cs="Arial"/>
        </w:rPr>
        <w:t xml:space="preserve"> is on the premises/conveyance* at the start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the search; or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lastRenderedPageBreak/>
        <w:t xml:space="preserve">(ii) </w:t>
      </w:r>
      <w:proofErr w:type="gramStart"/>
      <w:r w:rsidRPr="00010DBB">
        <w:rPr>
          <w:rFonts w:ascii="Arial" w:hAnsi="Arial" w:cs="Arial"/>
        </w:rPr>
        <w:t>who</w:t>
      </w:r>
      <w:proofErr w:type="gramEnd"/>
      <w:r w:rsidRPr="00010DBB">
        <w:rPr>
          <w:rFonts w:ascii="Arial" w:hAnsi="Arial" w:cs="Arial"/>
        </w:rPr>
        <w:t xml:space="preserve"> arrives at the premises or stops at, or </w:t>
      </w:r>
      <w:proofErr w:type="spellStart"/>
      <w:r w:rsidRPr="00010DBB">
        <w:rPr>
          <w:rFonts w:ascii="Arial" w:hAnsi="Arial" w:cs="Arial"/>
        </w:rPr>
        <w:t>enters,or</w:t>
      </w:r>
      <w:proofErr w:type="spellEnd"/>
      <w:r w:rsidRPr="00010DBB">
        <w:rPr>
          <w:rFonts w:ascii="Arial" w:hAnsi="Arial" w:cs="Arial"/>
        </w:rPr>
        <w:t xml:space="preserve"> tries to enter, the conveyance while the search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is being carried out.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*Select one.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6 Period of execution of search warrant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power to enter and search under this warrant may be exercised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on 1 occasion/on [</w:t>
      </w:r>
      <w:r w:rsidRPr="00010DBB">
        <w:rPr>
          <w:rFonts w:ascii="Arial" w:hAnsi="Arial" w:cs="Arial"/>
          <w:i/>
          <w:iCs/>
        </w:rPr>
        <w:t>state the number of times that the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warrant may be executed</w:t>
      </w:r>
      <w:r w:rsidRPr="00010DBB">
        <w:rPr>
          <w:rFonts w:ascii="Arial" w:hAnsi="Arial" w:cs="Arial"/>
        </w:rPr>
        <w:t>]*.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warrant must be executed within 14 days/[</w:t>
      </w:r>
      <w:r w:rsidRPr="00010DBB">
        <w:rPr>
          <w:rFonts w:ascii="Arial" w:hAnsi="Arial" w:cs="Arial"/>
          <w:i/>
          <w:iCs/>
        </w:rPr>
        <w:t>state number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of days that warrant is issued for, which must not exceed 30</w:t>
      </w:r>
      <w:r>
        <w:rPr>
          <w:rFonts w:ascii="Arial" w:hAnsi="Arial" w:cs="Arial"/>
          <w:i/>
          <w:iCs/>
        </w:rPr>
        <w:t xml:space="preserve"> </w:t>
      </w:r>
      <w:r w:rsidRPr="00010DBB">
        <w:rPr>
          <w:rFonts w:ascii="Arial" w:hAnsi="Arial" w:cs="Arial"/>
          <w:i/>
          <w:iCs/>
        </w:rPr>
        <w:t>days</w:t>
      </w:r>
      <w:r w:rsidRPr="00010DBB">
        <w:rPr>
          <w:rFonts w:ascii="Arial" w:hAnsi="Arial" w:cs="Arial"/>
        </w:rPr>
        <w:t>] days* from the date of issue of this warrant.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*Select one.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Date of issue: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Name or unique identifier: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Signature: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(Judge/authorised issuing officer*)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*Select one.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10DBB">
        <w:rPr>
          <w:rFonts w:ascii="Arial" w:hAnsi="Arial" w:cs="Arial"/>
        </w:rPr>
        <w:t>Important information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Seizure of items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A list of things seized will be provided to you as soon as practicable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 xml:space="preserve">after the seizure, </w:t>
      </w:r>
      <w:proofErr w:type="gramStart"/>
      <w:r w:rsidRPr="00010DBB">
        <w:rPr>
          <w:rFonts w:ascii="Arial" w:hAnsi="Arial" w:cs="Arial"/>
        </w:rPr>
        <w:t>and</w:t>
      </w:r>
      <w:proofErr w:type="gramEnd"/>
      <w:r w:rsidRPr="00010DBB">
        <w:rPr>
          <w:rFonts w:ascii="Arial" w:hAnsi="Arial" w:cs="Arial"/>
        </w:rPr>
        <w:t xml:space="preserve"> in any case not later than 7 days after the seizure.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Availability of privileges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These notes set out an explanation of the availability of privileges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recognised for the purposes of a search conducted under this warrant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and an outline of how any of those privileges may be claimed.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notes provide general information relating to these matters. For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 xml:space="preserve">further details relating to these matters, </w:t>
      </w:r>
      <w:r w:rsidRPr="00010DBB">
        <w:rPr>
          <w:rFonts w:ascii="Arial" w:hAnsi="Arial" w:cs="Arial"/>
          <w:i/>
          <w:iCs/>
        </w:rPr>
        <w:t xml:space="preserve">see </w:t>
      </w:r>
      <w:r w:rsidRPr="00010DBB">
        <w:rPr>
          <w:rFonts w:ascii="Arial" w:hAnsi="Arial" w:cs="Arial"/>
        </w:rPr>
        <w:t>sections 136 to 148 of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Search and Surveillance Act 2012 and the relevant sections of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Evidence Act 2006.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The following privileges are recognised for the purposes of a search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conducted under this warrant: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legal</w:t>
      </w:r>
      <w:proofErr w:type="gramEnd"/>
      <w:r w:rsidRPr="00010DBB">
        <w:rPr>
          <w:rFonts w:ascii="Arial" w:hAnsi="Arial" w:cs="Arial"/>
        </w:rPr>
        <w:t xml:space="preserve"> professional privilege (referred to in section 53(5) of the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Evidence Act 2006) and privilege for communications with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legal advisers (as described in section 54 of the Evidence Act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2006). A person who obtains professional legal services from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 legal adviser has a privilege in respect of any communication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between the person and the legal adviser if the communication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was intended to be confidential and was made in the course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and for the purpose of the provision of professional legal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services from the legal adviser: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privilege</w:t>
      </w:r>
      <w:proofErr w:type="gramEnd"/>
      <w:r w:rsidRPr="00010DBB">
        <w:rPr>
          <w:rFonts w:ascii="Arial" w:hAnsi="Arial" w:cs="Arial"/>
        </w:rPr>
        <w:t xml:space="preserve"> for preparatory materials for proceedings (as described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in section 56 of the Evidence Act 2006):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privilege</w:t>
      </w:r>
      <w:proofErr w:type="gramEnd"/>
      <w:r w:rsidRPr="00010DBB">
        <w:rPr>
          <w:rFonts w:ascii="Arial" w:hAnsi="Arial" w:cs="Arial"/>
        </w:rPr>
        <w:t xml:space="preserve"> for settlement negotiations or mediation (as described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in section 57 of the Evidence Act 2006):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privilege</w:t>
      </w:r>
      <w:proofErr w:type="gramEnd"/>
      <w:r w:rsidRPr="00010DBB">
        <w:rPr>
          <w:rFonts w:ascii="Arial" w:hAnsi="Arial" w:cs="Arial"/>
        </w:rPr>
        <w:t xml:space="preserve"> for communications with ministers of religion (as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described in section 58 of the Evidence Act 2006):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privilege</w:t>
      </w:r>
      <w:proofErr w:type="gramEnd"/>
      <w:r w:rsidRPr="00010DBB">
        <w:rPr>
          <w:rFonts w:ascii="Arial" w:hAnsi="Arial" w:cs="Arial"/>
        </w:rPr>
        <w:t xml:space="preserve"> in criminal proceedings for information obtained by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medical practitioners and clinical psychologists (as described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in section 59 of the Evidence Act 2006):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privilege</w:t>
      </w:r>
      <w:proofErr w:type="gramEnd"/>
      <w:r w:rsidRPr="00010DBB">
        <w:rPr>
          <w:rFonts w:ascii="Arial" w:hAnsi="Arial" w:cs="Arial"/>
        </w:rPr>
        <w:t xml:space="preserve"> for informers (as described in section 64 of the Evidence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Act 2006):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• </w:t>
      </w:r>
      <w:proofErr w:type="gramStart"/>
      <w:r w:rsidRPr="00010DBB">
        <w:rPr>
          <w:rFonts w:ascii="Arial" w:hAnsi="Arial" w:cs="Arial"/>
        </w:rPr>
        <w:t>rights</w:t>
      </w:r>
      <w:proofErr w:type="gramEnd"/>
      <w:r w:rsidRPr="00010DBB">
        <w:rPr>
          <w:rFonts w:ascii="Arial" w:hAnsi="Arial" w:cs="Arial"/>
        </w:rPr>
        <w:t xml:space="preserve"> conferred on journalists under section 68 of the Evidence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Act 2006 to protect certain sources.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Effect of privilege and how privileges may be claimed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Claims for privilege for things seized or sought to be seized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lastRenderedPageBreak/>
        <w:t xml:space="preserve">1 If you wish to claim privilege in respect of </w:t>
      </w:r>
      <w:proofErr w:type="spellStart"/>
      <w:r w:rsidRPr="00010DBB">
        <w:rPr>
          <w:rFonts w:ascii="Arial" w:hAnsi="Arial" w:cs="Arial"/>
        </w:rPr>
        <w:t>any thing</w:t>
      </w:r>
      <w:proofErr w:type="spellEnd"/>
      <w:r w:rsidRPr="00010DBB">
        <w:rPr>
          <w:rFonts w:ascii="Arial" w:hAnsi="Arial" w:cs="Arial"/>
        </w:rPr>
        <w:t xml:space="preserve"> seized or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sought to be seized under this search warrant,—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>(a) you must, as soon as practicable, provide to the person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responsible for executing the search warrant a particularised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list of the things in respect of which the privilege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010DBB">
        <w:rPr>
          <w:rFonts w:ascii="Arial" w:hAnsi="Arial" w:cs="Arial"/>
        </w:rPr>
        <w:t>is</w:t>
      </w:r>
      <w:proofErr w:type="gramEnd"/>
      <w:r w:rsidRPr="00010DBB">
        <w:rPr>
          <w:rFonts w:ascii="Arial" w:hAnsi="Arial" w:cs="Arial"/>
        </w:rPr>
        <w:t xml:space="preserve"> claimed: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if</w:t>
      </w:r>
      <w:proofErr w:type="gramEnd"/>
      <w:r w:rsidRPr="00010DBB">
        <w:rPr>
          <w:rFonts w:ascii="Arial" w:hAnsi="Arial" w:cs="Arial"/>
        </w:rPr>
        <w:t xml:space="preserve"> the thing or things in respect of which you are claiming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privilege cannot be adequately particularised,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you may apply to a District Court for directions or relief.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Interim steps pending resolution of privilege claim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2 While a claim of privilege is being determined, the person executing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search warrant—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(a) </w:t>
      </w:r>
      <w:proofErr w:type="gramStart"/>
      <w:r w:rsidRPr="00010DBB">
        <w:rPr>
          <w:rFonts w:ascii="Arial" w:hAnsi="Arial" w:cs="Arial"/>
        </w:rPr>
        <w:t>may</w:t>
      </w:r>
      <w:proofErr w:type="gramEnd"/>
      <w:r w:rsidRPr="00010DBB">
        <w:rPr>
          <w:rFonts w:ascii="Arial" w:hAnsi="Arial" w:cs="Arial"/>
        </w:rPr>
        <w:t xml:space="preserve"> secure the thing (including, if the thing is intangible,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by making a forensic copy) and deliver the thing,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or a copy of it, to the District Court to enable the determination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010DBB">
        <w:rPr>
          <w:rFonts w:ascii="Arial" w:hAnsi="Arial" w:cs="Arial"/>
        </w:rPr>
        <w:t>of</w:t>
      </w:r>
      <w:proofErr w:type="gramEnd"/>
      <w:r w:rsidRPr="00010DBB">
        <w:rPr>
          <w:rFonts w:ascii="Arial" w:hAnsi="Arial" w:cs="Arial"/>
        </w:rPr>
        <w:t xml:space="preserve"> a claim to privilege;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must</w:t>
      </w:r>
      <w:proofErr w:type="gramEnd"/>
      <w:r w:rsidRPr="00010DBB">
        <w:rPr>
          <w:rFonts w:ascii="Arial" w:hAnsi="Arial" w:cs="Arial"/>
        </w:rPr>
        <w:t xml:space="preserve"> give you access to the thing secured;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(c) </w:t>
      </w:r>
      <w:proofErr w:type="gramStart"/>
      <w:r w:rsidRPr="00010DBB">
        <w:rPr>
          <w:rFonts w:ascii="Arial" w:hAnsi="Arial" w:cs="Arial"/>
        </w:rPr>
        <w:t>must</w:t>
      </w:r>
      <w:proofErr w:type="gramEnd"/>
      <w:r w:rsidRPr="00010DBB">
        <w:rPr>
          <w:rFonts w:ascii="Arial" w:hAnsi="Arial" w:cs="Arial"/>
        </w:rPr>
        <w:t xml:space="preserve"> not search the thing secured, unless no claim of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privilege is made, or a claim of privilege is withdrawn,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or the search is in accordance with the directions of the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court determining the claim of privilege.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Searches affecting privileged materials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3 If the person who is to execute the search warrant has reasonable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 xml:space="preserve">grounds to believe that </w:t>
      </w:r>
      <w:proofErr w:type="spellStart"/>
      <w:r w:rsidRPr="00010DBB">
        <w:rPr>
          <w:rFonts w:ascii="Arial" w:hAnsi="Arial" w:cs="Arial"/>
        </w:rPr>
        <w:t>any thing</w:t>
      </w:r>
      <w:proofErr w:type="spellEnd"/>
      <w:r w:rsidRPr="00010DBB">
        <w:rPr>
          <w:rFonts w:ascii="Arial" w:hAnsi="Arial" w:cs="Arial"/>
        </w:rPr>
        <w:t xml:space="preserve"> discovered in the search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 xml:space="preserve">may be the subject of a privilege, </w:t>
      </w:r>
      <w:proofErr w:type="gramStart"/>
      <w:r w:rsidRPr="00010DBB">
        <w:rPr>
          <w:rFonts w:ascii="Arial" w:hAnsi="Arial" w:cs="Arial"/>
        </w:rPr>
        <w:t>he or she</w:t>
      </w:r>
      <w:proofErr w:type="gramEnd"/>
      <w:r w:rsidRPr="00010DBB">
        <w:rPr>
          <w:rFonts w:ascii="Arial" w:hAnsi="Arial" w:cs="Arial"/>
        </w:rPr>
        <w:t>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(a) </w:t>
      </w:r>
      <w:proofErr w:type="gramStart"/>
      <w:r w:rsidRPr="00010DBB">
        <w:rPr>
          <w:rFonts w:ascii="Arial" w:hAnsi="Arial" w:cs="Arial"/>
        </w:rPr>
        <w:t>must</w:t>
      </w:r>
      <w:proofErr w:type="gramEnd"/>
      <w:r w:rsidRPr="00010DBB">
        <w:rPr>
          <w:rFonts w:ascii="Arial" w:hAnsi="Arial" w:cs="Arial"/>
        </w:rPr>
        <w:t xml:space="preserve"> provide to any person who he or she believes may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be able to claim a privilege a reasonable opportunity to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claim it; and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may</w:t>
      </w:r>
      <w:proofErr w:type="gramEnd"/>
      <w:r w:rsidRPr="00010DBB">
        <w:rPr>
          <w:rFonts w:ascii="Arial" w:hAnsi="Arial" w:cs="Arial"/>
        </w:rPr>
        <w:t>, if he or she is unable to identify or contact a person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who may be able to claim a privilege, or that person’s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lawyer, within a reasonable period, apply to a District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Court for a determination as to the status of the thing.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0DBB">
        <w:rPr>
          <w:rFonts w:ascii="Arial" w:hAnsi="Arial" w:cs="Arial"/>
          <w:i/>
          <w:iCs/>
        </w:rPr>
        <w:t>Effect of privilege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4 If you make a claim of privilege in respect of </w:t>
      </w:r>
      <w:proofErr w:type="spellStart"/>
      <w:r w:rsidRPr="00010DBB">
        <w:rPr>
          <w:rFonts w:ascii="Arial" w:hAnsi="Arial" w:cs="Arial"/>
        </w:rPr>
        <w:t>any thing</w:t>
      </w:r>
      <w:proofErr w:type="spellEnd"/>
      <w:r w:rsidRPr="00010DBB">
        <w:rPr>
          <w:rFonts w:ascii="Arial" w:hAnsi="Arial" w:cs="Arial"/>
        </w:rPr>
        <w:t xml:space="preserve"> that is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seized or sought to be seized, you have the right—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(a)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prevent the search of any communication or information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to which the privilege would apply, pending determination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the claim to privilege, and subsequently if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the claim to privilege is upheld: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010DBB">
        <w:rPr>
          <w:rFonts w:ascii="Arial" w:hAnsi="Arial" w:cs="Arial"/>
        </w:rPr>
        <w:t xml:space="preserve">(b) </w:t>
      </w:r>
      <w:proofErr w:type="gramStart"/>
      <w:r w:rsidRPr="00010DBB">
        <w:rPr>
          <w:rFonts w:ascii="Arial" w:hAnsi="Arial" w:cs="Arial"/>
        </w:rPr>
        <w:t>to</w:t>
      </w:r>
      <w:proofErr w:type="gramEnd"/>
      <w:r w:rsidRPr="00010DBB">
        <w:rPr>
          <w:rFonts w:ascii="Arial" w:hAnsi="Arial" w:cs="Arial"/>
        </w:rPr>
        <w:t xml:space="preserve"> require the return of a copy of, or access to, any such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communication or information, pending determination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of the claim to privilege.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  <w:b/>
          <w:bCs/>
        </w:rPr>
        <w:t>Important</w:t>
      </w:r>
      <w:r w:rsidRPr="00010DBB">
        <w:rPr>
          <w:rFonts w:ascii="Arial" w:hAnsi="Arial" w:cs="Arial"/>
        </w:rPr>
        <w:t>: If you do not understand this information or if you want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further advice about the availability of privileges and how any of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those privileges may be claimed, you should consider getting legal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advice on the matter immediately.</w:t>
      </w:r>
    </w:p>
    <w:p w:rsid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10DBB">
        <w:rPr>
          <w:rFonts w:ascii="Arial" w:hAnsi="Arial" w:cs="Arial"/>
          <w:b/>
          <w:bCs/>
        </w:rPr>
        <w:t>Inquiries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If you have any inquiries about this search, you should contact the</w:t>
      </w:r>
      <w:r>
        <w:rPr>
          <w:rFonts w:ascii="Arial" w:hAnsi="Arial" w:cs="Arial"/>
        </w:rPr>
        <w:t xml:space="preserve"> </w:t>
      </w:r>
      <w:r w:rsidRPr="00010DBB">
        <w:rPr>
          <w:rFonts w:ascii="Arial" w:hAnsi="Arial" w:cs="Arial"/>
        </w:rPr>
        <w:t>Police officer in charge, whose details are below.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0DBB">
        <w:rPr>
          <w:rFonts w:ascii="Arial" w:hAnsi="Arial" w:cs="Arial"/>
        </w:rPr>
        <w:t>[</w:t>
      </w:r>
      <w:r w:rsidRPr="00010DBB">
        <w:rPr>
          <w:rFonts w:ascii="Arial" w:hAnsi="Arial" w:cs="Arial"/>
          <w:i/>
          <w:iCs/>
        </w:rPr>
        <w:t>Police officer’s full legal name or unique identifier</w:t>
      </w:r>
      <w:r w:rsidRPr="00010DBB">
        <w:rPr>
          <w:rFonts w:ascii="Arial" w:hAnsi="Arial" w:cs="Arial"/>
        </w:rPr>
        <w:t>] at the [</w:t>
      </w:r>
      <w:r w:rsidRPr="00010DBB">
        <w:rPr>
          <w:rFonts w:ascii="Arial" w:hAnsi="Arial" w:cs="Arial"/>
          <w:i/>
          <w:iCs/>
        </w:rPr>
        <w:t>name</w:t>
      </w:r>
      <w:r w:rsidRPr="00010DBB">
        <w:rPr>
          <w:rFonts w:ascii="Arial" w:hAnsi="Arial" w:cs="Arial"/>
        </w:rPr>
        <w:t>]</w:t>
      </w:r>
    </w:p>
    <w:p w:rsidR="00010DBB" w:rsidRPr="00010DBB" w:rsidRDefault="00010DBB" w:rsidP="0001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10DBB">
        <w:rPr>
          <w:rFonts w:ascii="Arial" w:hAnsi="Arial" w:cs="Arial"/>
        </w:rPr>
        <w:t>Police Station at [</w:t>
      </w:r>
      <w:r w:rsidRPr="00010DBB">
        <w:rPr>
          <w:rFonts w:ascii="Arial" w:hAnsi="Arial" w:cs="Arial"/>
          <w:i/>
          <w:iCs/>
        </w:rPr>
        <w:t>address</w:t>
      </w:r>
      <w:r w:rsidRPr="00010DBB">
        <w:rPr>
          <w:rFonts w:ascii="Arial" w:hAnsi="Arial" w:cs="Arial"/>
        </w:rPr>
        <w:t>].</w:t>
      </w:r>
      <w:proofErr w:type="gramEnd"/>
    </w:p>
    <w:sectPr w:rsidR="00010DBB" w:rsidRPr="00010DBB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BB" w:rsidRDefault="00010DBB" w:rsidP="00010DBB">
      <w:pPr>
        <w:spacing w:after="0" w:line="240" w:lineRule="auto"/>
      </w:pPr>
      <w:r>
        <w:separator/>
      </w:r>
    </w:p>
  </w:endnote>
  <w:endnote w:type="continuationSeparator" w:id="0">
    <w:p w:rsidR="00010DBB" w:rsidRDefault="00010DBB" w:rsidP="0001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BB" w:rsidRDefault="00010DBB" w:rsidP="00010DBB">
      <w:pPr>
        <w:spacing w:after="0" w:line="240" w:lineRule="auto"/>
      </w:pPr>
      <w:r>
        <w:separator/>
      </w:r>
    </w:p>
  </w:footnote>
  <w:footnote w:type="continuationSeparator" w:id="0">
    <w:p w:rsidR="00010DBB" w:rsidRDefault="00010DBB" w:rsidP="0001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BB" w:rsidRPr="00010DBB" w:rsidRDefault="00010DBB" w:rsidP="00010DBB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BB"/>
    <w:rsid w:val="00010DBB"/>
    <w:rsid w:val="000F261E"/>
    <w:rsid w:val="0059242D"/>
    <w:rsid w:val="00876DC9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0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DBB"/>
  </w:style>
  <w:style w:type="paragraph" w:styleId="Footer">
    <w:name w:val="footer"/>
    <w:basedOn w:val="Normal"/>
    <w:link w:val="FooterChar"/>
    <w:uiPriority w:val="99"/>
    <w:semiHidden/>
    <w:unhideWhenUsed/>
    <w:rsid w:val="00010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1180</Words>
  <Characters>6729</Characters>
  <Application>Microsoft Office Word</Application>
  <DocSecurity>0</DocSecurity>
  <Lines>56</Lines>
  <Paragraphs>15</Paragraphs>
  <ScaleCrop>false</ScaleCrop>
  <Company>Ministry of Justice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2013-11-20T00:31:00Z</dcterms:created>
  <dcterms:modified xsi:type="dcterms:W3CDTF">2013-11-20T00:41:00Z</dcterms:modified>
</cp:coreProperties>
</file>