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75BF7">
        <w:rPr>
          <w:rFonts w:ascii="Arial" w:hAnsi="Arial" w:cs="Arial"/>
          <w:b/>
        </w:rPr>
        <w:t>Form 13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75BF7">
        <w:rPr>
          <w:rFonts w:ascii="Arial" w:hAnsi="Arial" w:cs="Arial"/>
          <w:b/>
        </w:rPr>
        <w:t>Special licence (for conveyance)</w:t>
      </w:r>
    </w:p>
    <w:p w:rsidR="00775BF7" w:rsidRDefault="00775BF7" w:rsidP="00775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775BF7">
        <w:rPr>
          <w:rFonts w:ascii="Arial" w:hAnsi="Arial" w:cs="Arial"/>
          <w:i/>
          <w:iCs/>
        </w:rPr>
        <w:t>Sections 22 and 64, Sale and Supply of Alcohol Act 2012</w:t>
      </w:r>
    </w:p>
    <w:p w:rsid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  <w:b/>
          <w:bCs/>
        </w:rPr>
        <w:t xml:space="preserve">Pursuant </w:t>
      </w:r>
      <w:r w:rsidRPr="00775BF7">
        <w:rPr>
          <w:rFonts w:ascii="Arial" w:hAnsi="Arial" w:cs="Arial"/>
        </w:rPr>
        <w:t>to the Sale and Supply of Alcohol Act 2012, [</w:t>
      </w:r>
      <w:r w:rsidRPr="00775BF7">
        <w:rPr>
          <w:rFonts w:ascii="Arial" w:hAnsi="Arial" w:cs="Arial"/>
          <w:i/>
          <w:iCs/>
        </w:rPr>
        <w:t>full legal</w:t>
      </w:r>
      <w:r>
        <w:rPr>
          <w:rFonts w:ascii="Arial" w:hAnsi="Arial" w:cs="Arial"/>
          <w:i/>
          <w:iCs/>
        </w:rPr>
        <w:t xml:space="preserve"> </w:t>
      </w:r>
      <w:r w:rsidRPr="00775BF7">
        <w:rPr>
          <w:rFonts w:ascii="Arial" w:hAnsi="Arial" w:cs="Arial"/>
          <w:i/>
          <w:iCs/>
        </w:rPr>
        <w:t>name</w:t>
      </w:r>
      <w:r w:rsidRPr="00775BF7">
        <w:rPr>
          <w:rFonts w:ascii="Arial" w:hAnsi="Arial" w:cs="Arial"/>
        </w:rPr>
        <w:t>] is authorised to sell and supply alcohol, on the [</w:t>
      </w:r>
      <w:r w:rsidRPr="00775BF7">
        <w:rPr>
          <w:rFonts w:ascii="Arial" w:hAnsi="Arial" w:cs="Arial"/>
          <w:i/>
          <w:iCs/>
        </w:rPr>
        <w:t>kind of conveyance</w:t>
      </w:r>
      <w:r w:rsidRPr="00775BF7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known as [</w:t>
      </w:r>
      <w:r w:rsidRPr="00775BF7">
        <w:rPr>
          <w:rFonts w:ascii="Arial" w:hAnsi="Arial" w:cs="Arial"/>
          <w:i/>
          <w:iCs/>
        </w:rPr>
        <w:t>name of conveyance</w:t>
      </w:r>
      <w:r w:rsidRPr="00775BF7">
        <w:rPr>
          <w:rFonts w:ascii="Arial" w:hAnsi="Arial" w:cs="Arial"/>
        </w:rPr>
        <w:t>], based at [</w:t>
      </w:r>
      <w:r w:rsidRPr="00775BF7">
        <w:rPr>
          <w:rFonts w:ascii="Arial" w:hAnsi="Arial" w:cs="Arial"/>
          <w:i/>
          <w:iCs/>
        </w:rPr>
        <w:t>home base</w:t>
      </w:r>
      <w:r w:rsidRPr="00775BF7">
        <w:rPr>
          <w:rFonts w:ascii="Arial" w:hAnsi="Arial" w:cs="Arial"/>
        </w:rPr>
        <w:t>] to</w:t>
      </w:r>
      <w:r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any person attending the following occasion or event (</w:t>
      </w:r>
      <w:r w:rsidRPr="00775BF7">
        <w:rPr>
          <w:rFonts w:ascii="Arial" w:hAnsi="Arial" w:cs="Arial"/>
          <w:i/>
          <w:iCs/>
        </w:rPr>
        <w:t xml:space="preserve">or </w:t>
      </w:r>
      <w:r w:rsidRPr="00775BF7">
        <w:rPr>
          <w:rFonts w:ascii="Arial" w:hAnsi="Arial" w:cs="Arial"/>
        </w:rPr>
        <w:t>series of</w:t>
      </w:r>
      <w:r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occasions or events): [</w:t>
      </w:r>
      <w:r w:rsidRPr="00775BF7">
        <w:rPr>
          <w:rFonts w:ascii="Arial" w:hAnsi="Arial" w:cs="Arial"/>
          <w:i/>
          <w:iCs/>
        </w:rPr>
        <w:t>describe</w:t>
      </w:r>
      <w:r w:rsidRPr="00775BF7">
        <w:rPr>
          <w:rFonts w:ascii="Arial" w:hAnsi="Arial" w:cs="Arial"/>
        </w:rPr>
        <w:t>]</w:t>
      </w:r>
    </w:p>
    <w:p w:rsidR="00A50D19" w:rsidRDefault="00A50D19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775BF7">
        <w:rPr>
          <w:rFonts w:ascii="Arial" w:hAnsi="Arial" w:cs="Arial"/>
        </w:rPr>
        <w:t>(</w:t>
      </w:r>
      <w:r w:rsidRPr="00775BF7">
        <w:rPr>
          <w:rFonts w:ascii="Arial" w:hAnsi="Arial" w:cs="Arial"/>
          <w:i/>
          <w:iCs/>
        </w:rPr>
        <w:t>Except where the District Licensing Committee grants an exemption</w:t>
      </w:r>
      <w:r w:rsidR="00A50D19">
        <w:rPr>
          <w:rFonts w:ascii="Arial" w:hAnsi="Arial" w:cs="Arial"/>
          <w:i/>
          <w:iCs/>
        </w:rPr>
        <w:t xml:space="preserve"> </w:t>
      </w:r>
      <w:r w:rsidRPr="00775BF7">
        <w:rPr>
          <w:rFonts w:ascii="Arial" w:hAnsi="Arial" w:cs="Arial"/>
          <w:i/>
          <w:iCs/>
        </w:rPr>
        <w:t>under section 213(2) of the Act.</w:t>
      </w:r>
      <w:r w:rsidRPr="00775BF7">
        <w:rPr>
          <w:rFonts w:ascii="Arial" w:hAnsi="Arial" w:cs="Arial"/>
        </w:rPr>
        <w:t>)</w:t>
      </w:r>
      <w:proofErr w:type="gramEnd"/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The authority conferred by this licence must be exercised through a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manager or managers appointed by the licensee in accordance with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Subpart 6 of Part 2 of the Act.</w:t>
      </w:r>
    </w:p>
    <w:p w:rsidR="00A50D19" w:rsidRDefault="00A50D19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5BF7">
        <w:rPr>
          <w:rFonts w:ascii="Arial" w:hAnsi="Arial" w:cs="Arial"/>
          <w:b/>
          <w:bCs/>
        </w:rPr>
        <w:t>Conditions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This licence is subject to the following conditions: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alcohol</w:t>
      </w:r>
      <w:proofErr w:type="gramEnd"/>
      <w:r w:rsidRPr="00775BF7">
        <w:rPr>
          <w:rFonts w:ascii="Arial" w:hAnsi="Arial" w:cs="Arial"/>
        </w:rPr>
        <w:t xml:space="preserve"> may be sold under the licence only on the following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days and during the following hours: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a</w:t>
      </w:r>
      <w:proofErr w:type="gramEnd"/>
      <w:r w:rsidRPr="00775BF7">
        <w:rPr>
          <w:rFonts w:ascii="Arial" w:hAnsi="Arial" w:cs="Arial"/>
        </w:rPr>
        <w:t xml:space="preserve"> one-way door applies during the following times: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alcohol</w:t>
      </w:r>
      <w:proofErr w:type="gramEnd"/>
      <w:r w:rsidRPr="00775BF7">
        <w:rPr>
          <w:rFonts w:ascii="Arial" w:hAnsi="Arial" w:cs="Arial"/>
        </w:rPr>
        <w:t xml:space="preserve"> may be sold or supplied to the following types of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people: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fees payable for the licence concerned are: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licensee must take the following steps to ensure that the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provisions of this Act relating to the sale or supply of alcohol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to prohibited persons are observed: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licensee must take the following steps to ensure that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the provisions of this Act relating to the management of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conveyances are observed: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drinking</w:t>
      </w:r>
      <w:proofErr w:type="gramEnd"/>
      <w:r w:rsidRPr="00775BF7">
        <w:rPr>
          <w:rFonts w:ascii="Arial" w:hAnsi="Arial" w:cs="Arial"/>
        </w:rPr>
        <w:t xml:space="preserve"> water must be freely available at the following places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while the conveyance is open for business: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  <w:r w:rsidR="00A50D19">
        <w:rPr>
          <w:rFonts w:ascii="Arial" w:hAnsi="Arial" w:cs="Arial"/>
        </w:rPr>
        <w:t xml:space="preserve"> 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where</w:t>
      </w:r>
      <w:proofErr w:type="gramEnd"/>
      <w:r w:rsidRPr="00775BF7">
        <w:rPr>
          <w:rFonts w:ascii="Arial" w:hAnsi="Arial" w:cs="Arial"/>
        </w:rPr>
        <w:t xml:space="preserve"> the principal business carried out on the conveyance is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not the manufacture or sale of alcohol, alcohol may be sold or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delivered on or from the conveyance in the following circumstances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food</w:t>
      </w:r>
      <w:proofErr w:type="gramEnd"/>
      <w:r w:rsidRPr="00775BF7">
        <w:rPr>
          <w:rFonts w:ascii="Arial" w:hAnsi="Arial" w:cs="Arial"/>
        </w:rPr>
        <w:t xml:space="preserve"> must be available for consumption on the conveyance as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follows: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low-alcohol</w:t>
      </w:r>
      <w:proofErr w:type="gramEnd"/>
      <w:r w:rsidRPr="00775BF7">
        <w:rPr>
          <w:rFonts w:ascii="Arial" w:hAnsi="Arial" w:cs="Arial"/>
        </w:rPr>
        <w:t xml:space="preserve"> beverages must be available for sale and supply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on the conveyance as follows: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non-alcohol</w:t>
      </w:r>
      <w:proofErr w:type="gramEnd"/>
      <w:r w:rsidRPr="00775BF7">
        <w:rPr>
          <w:rFonts w:ascii="Arial" w:hAnsi="Arial" w:cs="Arial"/>
        </w:rPr>
        <w:t xml:space="preserve"> beverages must be available for sale and supply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on the conveyance as follows: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</w:t>
      </w:r>
      <w:r w:rsidR="00A50D19" w:rsidRPr="00775BF7">
        <w:rPr>
          <w:rFonts w:ascii="Arial" w:hAnsi="Arial" w:cs="Arial"/>
        </w:rPr>
        <w:t>licensee must</w:t>
      </w:r>
      <w:r w:rsidRPr="00775BF7">
        <w:rPr>
          <w:rFonts w:ascii="Arial" w:hAnsi="Arial" w:cs="Arial"/>
        </w:rPr>
        <w:t xml:space="preserve"> take the following steps to provide assistance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with or information about alternative forms of transport from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the conveyance: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members</w:t>
      </w:r>
      <w:proofErr w:type="gramEnd"/>
      <w:r w:rsidRPr="00775BF7">
        <w:rPr>
          <w:rFonts w:ascii="Arial" w:hAnsi="Arial" w:cs="Arial"/>
        </w:rPr>
        <w:t xml:space="preserve"> of the public must be excluded from the conveyance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 xml:space="preserve">in the following </w:t>
      </w:r>
      <w:r w:rsidR="00A50D19">
        <w:rPr>
          <w:rFonts w:ascii="Arial" w:hAnsi="Arial" w:cs="Arial"/>
        </w:rPr>
        <w:t>c</w:t>
      </w:r>
      <w:r w:rsidRPr="00775BF7">
        <w:rPr>
          <w:rFonts w:ascii="Arial" w:hAnsi="Arial" w:cs="Arial"/>
        </w:rPr>
        <w:t>ircumstances: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alcohol</w:t>
      </w:r>
      <w:proofErr w:type="gramEnd"/>
      <w:r w:rsidRPr="00775BF7">
        <w:rPr>
          <w:rFonts w:ascii="Arial" w:hAnsi="Arial" w:cs="Arial"/>
        </w:rPr>
        <w:t xml:space="preserve"> may be sold in the following types of container only: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licensee must file with the District Licensing Committee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returns relating to the sale of alcohol as follows: 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 xml:space="preserve">• </w:t>
      </w:r>
      <w:proofErr w:type="gramStart"/>
      <w:r w:rsidRPr="00775BF7">
        <w:rPr>
          <w:rFonts w:ascii="Arial" w:hAnsi="Arial" w:cs="Arial"/>
        </w:rPr>
        <w:t>the</w:t>
      </w:r>
      <w:proofErr w:type="gramEnd"/>
      <w:r w:rsidRPr="00775BF7">
        <w:rPr>
          <w:rFonts w:ascii="Arial" w:hAnsi="Arial" w:cs="Arial"/>
        </w:rPr>
        <w:t xml:space="preserve"> licence is also subject to the following conditions, which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in the committee’s opinion are not inconsistent with the Act: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*Delete where not applicable.</w:t>
      </w:r>
    </w:p>
    <w:p w:rsidR="00A50D19" w:rsidRDefault="00A50D19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75BF7">
        <w:rPr>
          <w:rFonts w:ascii="Arial" w:hAnsi="Arial" w:cs="Arial"/>
          <w:b/>
          <w:bCs/>
        </w:rPr>
        <w:t>Duration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Date and time of each event for which the licence is issued:</w:t>
      </w:r>
      <w:r w:rsidR="00A50D19">
        <w:rPr>
          <w:rFonts w:ascii="Arial" w:hAnsi="Arial" w:cs="Arial"/>
        </w:rPr>
        <w:t xml:space="preserve"> </w:t>
      </w:r>
      <w:r w:rsidRPr="00775BF7">
        <w:rPr>
          <w:rFonts w:ascii="Arial" w:hAnsi="Arial" w:cs="Arial"/>
        </w:rPr>
        <w:t>[</w:t>
      </w:r>
      <w:r w:rsidRPr="00775BF7">
        <w:rPr>
          <w:rFonts w:ascii="Arial" w:hAnsi="Arial" w:cs="Arial"/>
          <w:i/>
          <w:iCs/>
        </w:rPr>
        <w:t>state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This licence is in force from [</w:t>
      </w:r>
      <w:r w:rsidRPr="00775BF7">
        <w:rPr>
          <w:rFonts w:ascii="Arial" w:hAnsi="Arial" w:cs="Arial"/>
          <w:i/>
          <w:iCs/>
        </w:rPr>
        <w:t>time, date</w:t>
      </w:r>
      <w:r w:rsidRPr="00775BF7">
        <w:rPr>
          <w:rFonts w:ascii="Arial" w:hAnsi="Arial" w:cs="Arial"/>
        </w:rPr>
        <w:t>] until [</w:t>
      </w:r>
      <w:r w:rsidRPr="00775BF7">
        <w:rPr>
          <w:rFonts w:ascii="Arial" w:hAnsi="Arial" w:cs="Arial"/>
          <w:i/>
          <w:iCs/>
        </w:rPr>
        <w:t>time, date</w:t>
      </w:r>
      <w:r w:rsidRPr="00775BF7">
        <w:rPr>
          <w:rFonts w:ascii="Arial" w:hAnsi="Arial" w:cs="Arial"/>
        </w:rPr>
        <w:t>].</w:t>
      </w:r>
    </w:p>
    <w:p w:rsidR="00A50D19" w:rsidRDefault="00A50D19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0D19" w:rsidRDefault="00A50D19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Dated at: [</w:t>
      </w:r>
      <w:r w:rsidRPr="00775BF7">
        <w:rPr>
          <w:rFonts w:ascii="Arial" w:hAnsi="Arial" w:cs="Arial"/>
          <w:i/>
          <w:iCs/>
        </w:rPr>
        <w:t>place</w:t>
      </w:r>
      <w:r w:rsidRPr="00775BF7">
        <w:rPr>
          <w:rFonts w:ascii="Arial" w:hAnsi="Arial" w:cs="Arial"/>
        </w:rPr>
        <w:t xml:space="preserve">, </w:t>
      </w:r>
      <w:r w:rsidRPr="00775BF7">
        <w:rPr>
          <w:rFonts w:ascii="Arial" w:hAnsi="Arial" w:cs="Arial"/>
          <w:i/>
          <w:iCs/>
        </w:rPr>
        <w:t>date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[</w:t>
      </w:r>
      <w:r w:rsidRPr="00775BF7">
        <w:rPr>
          <w:rFonts w:ascii="Arial" w:hAnsi="Arial" w:cs="Arial"/>
          <w:i/>
          <w:iCs/>
        </w:rPr>
        <w:t>Signature</w:t>
      </w:r>
      <w:r w:rsidRPr="00775BF7">
        <w:rPr>
          <w:rFonts w:ascii="Arial" w:hAnsi="Arial" w:cs="Arial"/>
        </w:rPr>
        <w:t>]</w:t>
      </w:r>
    </w:p>
    <w:p w:rsidR="00775BF7" w:rsidRPr="00775BF7" w:rsidRDefault="00775BF7" w:rsidP="00775B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75BF7">
        <w:rPr>
          <w:rFonts w:ascii="Arial" w:hAnsi="Arial" w:cs="Arial"/>
        </w:rPr>
        <w:t>(Secretary, District Licensing Committee)</w:t>
      </w:r>
    </w:p>
    <w:p w:rsidR="0059242D" w:rsidRPr="00775BF7" w:rsidRDefault="00775BF7" w:rsidP="00775BF7">
      <w:pPr>
        <w:rPr>
          <w:rFonts w:ascii="Arial" w:hAnsi="Arial" w:cs="Arial"/>
        </w:rPr>
      </w:pPr>
      <w:r w:rsidRPr="00775BF7">
        <w:rPr>
          <w:rFonts w:ascii="Arial" w:hAnsi="Arial" w:cs="Arial"/>
        </w:rPr>
        <w:t>(Name of territorial authority)</w:t>
      </w:r>
    </w:p>
    <w:sectPr w:rsidR="0059242D" w:rsidRPr="00775BF7" w:rsidSect="0059242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BF7" w:rsidRDefault="00775BF7" w:rsidP="00775BF7">
      <w:pPr>
        <w:spacing w:after="0" w:line="240" w:lineRule="auto"/>
      </w:pPr>
      <w:r>
        <w:separator/>
      </w:r>
    </w:p>
  </w:endnote>
  <w:endnote w:type="continuationSeparator" w:id="0">
    <w:p w:rsidR="00775BF7" w:rsidRDefault="00775BF7" w:rsidP="0077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BF7" w:rsidRDefault="00775BF7" w:rsidP="00775BF7">
      <w:pPr>
        <w:spacing w:after="0" w:line="240" w:lineRule="auto"/>
      </w:pPr>
      <w:r>
        <w:separator/>
      </w:r>
    </w:p>
  </w:footnote>
  <w:footnote w:type="continuationSeparator" w:id="0">
    <w:p w:rsidR="00775BF7" w:rsidRDefault="00775BF7" w:rsidP="00775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BF7" w:rsidRPr="00775BF7" w:rsidRDefault="00775BF7" w:rsidP="00775BF7">
    <w:pPr>
      <w:pStyle w:val="Header"/>
      <w:jc w:val="center"/>
      <w:rPr>
        <w:b/>
        <w:sz w:val="32"/>
      </w:rPr>
    </w:pPr>
    <w:r>
      <w:rPr>
        <w:b/>
        <w:sz w:val="32"/>
      </w:rPr>
      <w:t>INDICATIVE FORM FOR TERRITORIAL AUTHORITY GUIDANCE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F7"/>
    <w:rsid w:val="000F261E"/>
    <w:rsid w:val="0059242D"/>
    <w:rsid w:val="005B76D9"/>
    <w:rsid w:val="00775BF7"/>
    <w:rsid w:val="00A50D19"/>
    <w:rsid w:val="00FB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5B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BF7"/>
  </w:style>
  <w:style w:type="paragraph" w:styleId="Footer">
    <w:name w:val="footer"/>
    <w:basedOn w:val="Normal"/>
    <w:link w:val="FooterChar"/>
    <w:uiPriority w:val="99"/>
    <w:semiHidden/>
    <w:unhideWhenUsed/>
    <w:rsid w:val="00775B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B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BOURNEC</dc:creator>
  <cp:keywords/>
  <dc:description/>
  <cp:lastModifiedBy>BOURNEC</cp:lastModifiedBy>
  <cp:revision>1</cp:revision>
  <dcterms:created xsi:type="dcterms:W3CDTF">2013-11-19T22:08:00Z</dcterms:created>
  <dcterms:modified xsi:type="dcterms:W3CDTF">2013-11-19T23:43:00Z</dcterms:modified>
</cp:coreProperties>
</file>